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D50" w:rsidRDefault="006E5C30">
      <w:r w:rsidRPr="006E5C30">
        <w:drawing>
          <wp:inline distT="0" distB="0" distL="0" distR="0" wp14:anchorId="0826CC86" wp14:editId="127007B3">
            <wp:extent cx="5943600" cy="3924300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B527C83-5B8D-4395-A989-43BF2984B3E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B527C83-5B8D-4395-A989-43BF2984B3E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DBB" w:rsidRDefault="005A3DBB"/>
    <w:p w:rsidR="005A3DBB" w:rsidRDefault="005A3DBB">
      <w:r>
        <w:t>Ստրասբուրգ. 2020թ.-ի հուլիսի 13</w:t>
      </w:r>
    </w:p>
    <w:p w:rsidR="005A3DBB" w:rsidRDefault="005A3DBB" w:rsidP="005A3DBB">
      <w:r w:rsidRPr="005A3DBB">
        <w:t xml:space="preserve">Կիբերհանցագործությունների մասին կոնվենցիայի </w:t>
      </w:r>
      <w:r>
        <w:t>կոմիտե (T-CY)</w:t>
      </w:r>
    </w:p>
    <w:p w:rsidR="006122F9" w:rsidRDefault="006122F9" w:rsidP="005A3DBB">
      <w:r>
        <w:t xml:space="preserve">Կիբերհանցագործությունների մասին Բուդաբեշտի </w:t>
      </w:r>
      <w:r w:rsidR="0056446F">
        <w:t>Կոնվենցիա.</w:t>
      </w:r>
    </w:p>
    <w:p w:rsidR="0056446F" w:rsidRPr="005A3DBB" w:rsidRDefault="0056446F" w:rsidP="005A3DBB">
      <w:r>
        <w:t>Առավելությունները և ազդեցությունը գործնականում</w:t>
      </w:r>
      <w:bookmarkStart w:id="0" w:name="_GoBack"/>
      <w:bookmarkEnd w:id="0"/>
    </w:p>
    <w:sectPr w:rsidR="0056446F" w:rsidRPr="005A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9A"/>
    <w:rsid w:val="003E3D50"/>
    <w:rsid w:val="00495C9A"/>
    <w:rsid w:val="0056446F"/>
    <w:rsid w:val="005A3DBB"/>
    <w:rsid w:val="006122F9"/>
    <w:rsid w:val="006E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9846F"/>
  <w15:chartTrackingRefBased/>
  <w15:docId w15:val="{A1A0457C-5DD5-4B99-9BF9-1BF78950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2021-05-15T08:04:00Z</dcterms:created>
  <dcterms:modified xsi:type="dcterms:W3CDTF">2021-05-15T08:06:00Z</dcterms:modified>
</cp:coreProperties>
</file>